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shd w:val="clear" w:color="auto" w:fill="ffffff"/>
        <w:ind w:left="707" w:firstLine="709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Проект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863"/>
        <w:shd w:val="clear" w:color="auto" w:fill="ffffff"/>
        <w:ind w:firstLine="567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tbl>
      <w:tblPr>
        <w:tblW w:w="0" w:type="auto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33"/>
        <w:gridCol w:w="1477"/>
        <w:gridCol w:w="4186"/>
      </w:tblGrid>
      <w:tr>
        <w:trPr>
          <w:jc w:val="center"/>
        </w:trPr>
        <w:tblPrEx/>
        <w:tc>
          <w:tcPr>
            <w:tcW w:w="4333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863"/>
              <w:spacing w:before="0" w:after="0" w:line="240" w:lineRule="auto"/>
              <w:ind w:firstLine="103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i w:val="0"/>
                <w:color w:val="000000"/>
                <w:sz w:val="28"/>
                <w:lang w:val="ru-RU"/>
              </w:rPr>
              <w:t xml:space="preserve">ПРАВИТЕЛЬСТВО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  <w:p>
            <w:pPr>
              <w:pStyle w:val="863"/>
              <w:spacing w:before="0" w:after="0" w:line="240" w:lineRule="auto"/>
              <w:ind w:firstLine="103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i w:val="0"/>
                <w:color w:val="000000"/>
                <w:sz w:val="28"/>
                <w:lang w:val="ru-RU"/>
              </w:rPr>
              <w:t xml:space="preserve">УДМУРТСКОЙ РЕСПУБЛИКИ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</w:tc>
        <w:tc>
          <w:tcPr>
            <w:tcW w:w="147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63"/>
              <w:tabs>
                <w:tab w:val="left" w:pos="560" w:leader="none"/>
                <w:tab w:val="left" w:pos="743" w:leader="none"/>
              </w:tabs>
              <w:spacing w:before="0" w:after="0" w:line="240" w:lineRule="auto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0" w:hAnsi="0" w:eastAsia="0" w:cs="0"/>
                <w:color w:val="000000"/>
                <w:sz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76275" cy="668655"/>
                      <wp:effectExtent l="0" t="0" r="0" b="0"/>
                      <wp:docPr id="1" name="_x0000_s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4144787" name=""/>
                              <pic:cNvPicPr/>
                              <pic:nvPr/>
                            </pic:nvPicPr>
                            <pic:blipFill>
                              <a:blip r:embed="rId11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76274" cy="668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3.25pt;height:52.6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bookmarkStart w:id="0" w:name="undefined"/>
            <w:bookmarkEnd w:id="0"/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</w:tc>
        <w:tc>
          <w:tcPr>
            <w:tcW w:w="418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pStyle w:val="863"/>
              <w:spacing w:before="0" w:after="0" w:line="240" w:lineRule="auto"/>
              <w:ind w:hanging="141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УДМУРТ ЭЛЬКУН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  <w:p>
            <w:pPr>
              <w:pStyle w:val="863"/>
              <w:spacing w:before="0" w:after="0" w:line="240" w:lineRule="auto"/>
              <w:ind w:hanging="141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КИВАЛТЭТ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</w:tc>
      </w:tr>
      <w:tr>
        <w:trPr>
          <w:jc w:val="center"/>
        </w:trPr>
        <w:tblPrEx/>
        <w:tc>
          <w:tcPr>
            <w:tcW w:w="9996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863"/>
              <w:spacing w:before="0" w:after="0" w:line="240" w:lineRule="auto"/>
              <w:contextualSpacing/>
              <w:jc w:val="left"/>
              <w:rPr>
                <w:rFonts w:ascii="0" w:hAnsi="0" w:eastAsia="0" w:cs="0"/>
                <w:color w:val="000000"/>
                <w:sz w:val="16"/>
              </w:rPr>
            </w:pPr>
            <w:r>
              <w:rPr>
                <w:rFonts w:ascii="0" w:hAnsi="0" w:eastAsia="0" w:cs="0"/>
                <w:color w:val="000000"/>
                <w:sz w:val="16"/>
              </w:rPr>
            </w:r>
            <w:r>
              <w:rPr>
                <w:rFonts w:ascii="0" w:hAnsi="0" w:eastAsia="0" w:cs="0"/>
                <w:color w:val="000000"/>
                <w:sz w:val="16"/>
              </w:rPr>
            </w:r>
            <w:r>
              <w:rPr>
                <w:rFonts w:ascii="0" w:hAnsi="0" w:eastAsia="0" w:cs="0"/>
                <w:color w:val="000000"/>
                <w:sz w:val="16"/>
              </w:rPr>
            </w:r>
          </w:p>
          <w:p>
            <w:pPr>
              <w:pStyle w:val="863"/>
              <w:spacing w:before="0" w:after="0" w:line="240" w:lineRule="auto"/>
              <w:contextualSpacing/>
              <w:jc w:val="left"/>
              <w:rPr>
                <w:rFonts w:ascii="0" w:hAnsi="0" w:eastAsia="0" w:cs="0"/>
                <w:color w:val="000000"/>
                <w:sz w:val="16"/>
              </w:rPr>
            </w:pPr>
            <w:r>
              <w:rPr>
                <w:rFonts w:ascii="0" w:hAnsi="0" w:eastAsia="0" w:cs="0"/>
                <w:color w:val="000000"/>
                <w:sz w:val="16"/>
              </w:rPr>
            </w:r>
            <w:r>
              <w:rPr>
                <w:rFonts w:ascii="0" w:hAnsi="0" w:eastAsia="0" w:cs="0"/>
                <w:color w:val="000000"/>
                <w:sz w:val="16"/>
              </w:rPr>
            </w:r>
            <w:r>
              <w:rPr>
                <w:rFonts w:ascii="0" w:hAnsi="0" w:eastAsia="0" w:cs="0"/>
                <w:color w:val="000000"/>
                <w:sz w:val="16"/>
              </w:rPr>
            </w:r>
          </w:p>
        </w:tc>
      </w:tr>
      <w:tr>
        <w:trPr>
          <w:jc w:val="center"/>
        </w:trPr>
        <w:tblPrEx/>
        <w:tc>
          <w:tcPr>
            <w:tcW w:w="9996" w:type="dxa"/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863"/>
              <w:tabs>
                <w:tab w:val="left" w:pos="4515" w:leader="none"/>
              </w:tabs>
              <w:spacing w:before="0" w:after="0" w:line="240" w:lineRule="auto"/>
              <w:contextualSpacing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48"/>
                <w:lang w:val="ru-RU"/>
              </w:rPr>
              <w:t xml:space="preserve">        ПОСТАНОВЛЕНИЕ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</w:tc>
      </w:tr>
    </w:tbl>
    <w:p>
      <w:pPr>
        <w:shd w:val="clear" w:color="auto" w:fill="ffffff"/>
        <w:ind w:firstLine="567"/>
        <w:jc w:val="lef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« __ » _________ 20</w:t>
      </w:r>
      <w:r>
        <w:rPr>
          <w:color w:val="000000"/>
          <w:sz w:val="28"/>
          <w:szCs w:val="28"/>
          <w:lang w:val="en-US"/>
        </w:rPr>
        <w:t xml:space="preserve">26</w:t>
      </w:r>
      <w:r>
        <w:rPr>
          <w:color w:val="000000"/>
          <w:sz w:val="28"/>
          <w:szCs w:val="28"/>
        </w:rPr>
        <w:t xml:space="preserve"> года</w:t>
        <w:tab/>
        <w:tab/>
        <w:tab/>
        <w:tab/>
        <w:tab/>
        <w:tab/>
        <w:t xml:space="preserve">       № 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Ижевск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9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96"/>
      </w:tblGrid>
      <w:tr>
        <w:trPr>
          <w:trHeight w:val="1193"/>
        </w:trPr>
        <w:tblPrEx/>
        <w:tc>
          <w:tcPr>
            <w:tcW w:w="949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3"/>
              <w:tabs>
                <w:tab w:val="left" w:pos="1800" w:leader="none"/>
              </w:tabs>
              <w:spacing w:before="0" w:after="0" w:line="240" w:lineRule="auto"/>
              <w:jc w:val="center"/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О внесении изменений в постановление Правительства Удмуртской </w:t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</w:p>
          <w:p>
            <w:pPr>
              <w:pStyle w:val="863"/>
              <w:tabs>
                <w:tab w:val="left" w:pos="1800" w:leader="none"/>
              </w:tabs>
              <w:spacing w:before="0" w:after="0" w:line="240" w:lineRule="auto"/>
              <w:jc w:val="center"/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Республики от 17 сентября 2021 года № 490 «О региональном </w:t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</w:p>
          <w:p>
            <w:pPr>
              <w:pStyle w:val="863"/>
              <w:tabs>
                <w:tab w:val="left" w:pos="1800" w:leader="none"/>
              </w:tabs>
              <w:spacing w:before="0" w:after="0" w:line="240" w:lineRule="auto"/>
              <w:jc w:val="center"/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государственном контроле (надзоре) на автомобильном транспорте, </w:t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  <w:r>
              <w:rPr>
                <w:rFonts w:ascii="PTAstraSerif" w:hAnsi="PTAstraSerif" w:eastAsia="PTAstraSerif" w:cs="PTAstraSerif"/>
                <w:b/>
                <w:color w:val="000000"/>
                <w:sz w:val="28"/>
              </w:rPr>
            </w:r>
          </w:p>
          <w:p>
            <w:pPr>
              <w:pStyle w:val="863"/>
              <w:tabs>
                <w:tab w:val="left" w:pos="1800" w:leader="none"/>
              </w:tabs>
              <w:spacing w:before="0" w:after="0" w:line="240" w:lineRule="auto"/>
              <w:jc w:val="center"/>
              <w:rPr>
                <w:rFonts w:ascii="0" w:hAnsi="0" w:eastAsia="0" w:cs="0"/>
                <w:color w:val="000000"/>
                <w:sz w:val="28"/>
              </w:rPr>
            </w:pPr>
            <w:r>
              <w:rPr>
                <w:rFonts w:ascii="PTAstraSerif" w:hAnsi="PTAstraSerif" w:eastAsia="PTAstraSerif" w:cs="PTAstraSerif"/>
                <w:b/>
                <w:color w:val="000000"/>
                <w:sz w:val="28"/>
                <w:lang w:val="ru-RU"/>
              </w:rPr>
              <w:t xml:space="preserve">городском наземном электрическом транспорте и в дорожном хозяйстве на территории Удмуртской Республики»</w:t>
            </w:r>
            <w:r>
              <w:rPr>
                <w:rFonts w:ascii="0" w:hAnsi="0" w:eastAsia="0" w:cs="0"/>
                <w:color w:val="000000"/>
                <w:sz w:val="28"/>
              </w:rPr>
            </w:r>
            <w:r>
              <w:rPr>
                <w:rFonts w:ascii="0" w:hAnsi="0" w:eastAsia="0" w:cs="0"/>
                <w:color w:val="000000"/>
                <w:sz w:val="28"/>
              </w:rPr>
            </w:r>
          </w:p>
          <w:p>
            <w:pPr>
              <w:pStyle w:val="863"/>
              <w:tabs>
                <w:tab w:val="left" w:pos="9531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6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Удмуртской Республики </w:t>
      </w:r>
      <w:r>
        <w:rPr>
          <w:b/>
          <w:bCs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1. Внести в постановление Правительства Удмуртской Республик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и                    от 17 сентября 2021 года № 490 «О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Удмуртской Республики» следующие изменения: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1) в Положении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Удмуртской Республики: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а) пункт 4.1. Изложить в следующей редакции: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  <w:szCs w:val="28"/>
          <w:highlight w:val="none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«4.1. Должностными лицами, уполномоченными на принятие решения о проведении контрольного (надзорного) мероприятия, являются министр,            заместитель министра.»;</w:t>
      </w:r>
      <w:r>
        <w:rPr>
          <w:rFonts w:ascii="0" w:hAnsi="0" w:eastAsia="0" w:cs="0"/>
          <w:color w:val="000000"/>
          <w:sz w:val="28"/>
          <w:szCs w:val="28"/>
          <w:highlight w:val="none"/>
        </w:rPr>
      </w:r>
      <w:r>
        <w:rPr>
          <w:rFonts w:ascii="0" w:hAnsi="0" w:eastAsia="0" w:cs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  <w:t xml:space="preserve">б) дополнить пункт 13.1 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  <w:t xml:space="preserve">абзацем следующего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  <w:t xml:space="preserve"> содержани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  <w:t xml:space="preserve">я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  <w:t xml:space="preserve">: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«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»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;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в) 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абзац второй пункта 20 изложить в следующей редакции: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«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Контролируемое лицо в течение 10 рабочих дней со дня получения предостережения о недопустимости нарушения обязательных требований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 вправе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или регионального портала государственных и муниципальных услуг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.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»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spacing w:after="0" w:afterAutospacing="0"/>
        <w:ind w:left="0" w:right="0" w:firstLine="567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г)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в пункте 21: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spacing w:after="0" w:afterAutospacing="0"/>
        <w:ind w:left="0" w:right="0" w:firstLine="567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абзац первый изложить в следующей редакции: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spacing w:after="0" w:afterAutospacing="0"/>
        <w:ind w:left="0" w:right="0" w:firstLine="567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«Должностные лица контрольного (надзорного) органа по обращениям контролируемых лиц и их представителей,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осуществляют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консультирование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 следующим вопросам:»;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spacing w:after="0" w:afterAutospacing="0"/>
        <w:ind w:left="0" w:right="0" w:firstLine="567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абзац девятый изложить в следующей редакции: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spacing w:after="0" w:afterAutospacing="0"/>
        <w:ind w:left="0" w:right="0" w:firstLine="567"/>
        <w:jc w:val="both"/>
        <w:rPr>
          <w:rFonts w:ascii="PT Astra Serif" w:hAnsi="PT Astra Serif" w:eastAsia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посредством телефонной связи, электронной почты, видео-конференц-связи или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использования мобильного приложения «Инспектор»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разработанного на базе государственной информационной системы программного обеспечения, Министерством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мобильное приложение «Инспектор»)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;»;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pP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д) в абзаце первом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у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2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2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  <w:t xml:space="preserve">слова «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  <w:t xml:space="preserve"> разработанного на базе государственной информационной системы программного обеспечения, Министерством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  <w:t xml:space="preserve"> мобильное приложение «Инспектор»)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  <w:t xml:space="preserve">» исключить;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</w:r>
      <w:r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е) 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пункт 23 изложить в следующей редакции:</w:t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«Обязательный профила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ктический визит проводится в соответствии со статьей 52.1 Федерального закона «О государственном контроле (надзоре) и муниципальном контроле в Российской Федерации», с учетом                              периодичности, установленной статьей 25 Федерального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 закона                           «О государственном контроле (надзоре) и муниципальном контроле в                            Российской Федерации». Продолжительность проведения обязательного профилактического визита не может превышать один рабочий день.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  <w:t xml:space="preserve">В отношении объектов контроля, отнесенных к категории низкого риска, обязательные профилактические визиты не проводятся.</w:t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  <w:t xml:space="preserve">».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ж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)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 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п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у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н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к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т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 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3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4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 изложить 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в следующей редакции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: 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1) получение письменных объяснений;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2) истребование документов;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3) экспертиза.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pP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з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) дополнить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у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том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41.1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у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ю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щего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ж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: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</w:r>
      <w:r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pP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«Р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ш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ф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ч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г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з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,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б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б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ъ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ж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,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ь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г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(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з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г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)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я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,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п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у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ю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щ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г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з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д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й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р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у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ы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ц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,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к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(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в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т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о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м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ч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и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с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л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е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rFonts w:ascii="PTAstraSerif" w:hAnsi="PTAstraSerif" w:eastAsia="PTAstraSerif" w:cs="PTAstraSerif"/>
          <w:strike w:val="0"/>
          <w:color w:val="000000"/>
          <w:sz w:val="28"/>
          <w:highlight w:val="white"/>
          <w:u w:val="none"/>
          <w:lang w:val="ru-RU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PTAstraSerif" w:hAnsi="PTAstraSerif" w:eastAsia="PTAstraSerif" w:cs="PTAstraSerif"/>
          <w:strike w:val="0"/>
          <w:color w:val="000000"/>
          <w:sz w:val="28"/>
          <w:szCs w:val="28"/>
          <w:highlight w:val="white"/>
          <w:u w:val="none"/>
        </w:rPr>
      </w:r>
      <w:r>
        <w:rPr>
          <w:rFonts w:ascii="PTAstraSerif" w:hAnsi="PTAstraSerif" w:eastAsia="PTAstraSerif" w:cs="PTAstraSerif"/>
          <w:strike/>
          <w:color w:val="000000"/>
          <w:sz w:val="28"/>
          <w:szCs w:val="28"/>
          <w:highlight w:val="whit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  <w:t xml:space="preserve">и)</w:t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  <w:t xml:space="preserve"> абзац второй пункта 42 изложить в следующей редакции: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  <w:lang w:val="ru-RU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highlight w:val="white"/>
        </w:rPr>
        <w:t xml:space="preserve">«Жалоба подлежит рассмотрению указанным уполномоченным на рассмотрение жалобы лицом в срок, установленный частями 2 и 2.1 статьи 43 Федерального закона «О государственном контроле (надзоре) и муниципальном контроле в Российской Федерации».</w:t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  <w:r>
        <w:rPr>
          <w:rFonts w:ascii="PTAstraSerif" w:hAnsi="PTAstraSerif" w:eastAsia="PTAstraSerif" w:cs="PTAstraSerif"/>
          <w:color w:val="000000"/>
          <w:sz w:val="28"/>
          <w:szCs w:val="28"/>
          <w:highlight w:val="white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firstLine="720"/>
        <w:jc w:val="both"/>
        <w:rPr>
          <w:rFonts w:ascii="0" w:hAnsi="0" w:eastAsia="0" w:cs="0"/>
          <w:color w:val="000000"/>
          <w:sz w:val="28"/>
          <w:highlight w:val="white"/>
        </w:rPr>
      </w:pPr>
      <w:r>
        <w:rPr>
          <w:rFonts w:ascii="PTAstraSerif" w:hAnsi="PTAstraSerif" w:eastAsia="PTAstraSerif" w:cs="PTAstraSerif"/>
          <w:b w:val="0"/>
          <w:color w:val="000000"/>
          <w:sz w:val="28"/>
          <w:highlight w:val="white"/>
          <w:lang w:val="ru-RU"/>
        </w:rPr>
        <w:t xml:space="preserve">к</w:t>
      </w:r>
      <w:r>
        <w:rPr>
          <w:rFonts w:ascii="PTAstraSerif" w:hAnsi="PTAstraSerif" w:eastAsia="PTAstraSerif" w:cs="PTAstraSerif"/>
          <w:b w:val="0"/>
          <w:color w:val="000000"/>
          <w:sz w:val="28"/>
          <w:highlight w:val="white"/>
          <w:lang w:val="ru-RU"/>
        </w:rPr>
        <w:t xml:space="preserve">)</w:t>
      </w:r>
      <w:r>
        <w:rPr>
          <w:rFonts w:ascii="PTAstraSerif" w:hAnsi="PTAstraSerif" w:eastAsia="PTAstraSerif" w:cs="PTAstraSerif"/>
          <w:b w:val="0"/>
          <w:color w:val="000000"/>
          <w:sz w:val="28"/>
          <w:highlight w:val="white"/>
          <w:lang w:val="ru-RU"/>
        </w:rPr>
        <w:t xml:space="preserve"> Критерии отнесения объектов контроля в сфере перев</w:t>
      </w:r>
      <w:r>
        <w:rPr>
          <w:rFonts w:ascii="PTAstraSerif" w:hAnsi="PTAstraSerif" w:eastAsia="PTAstraSerif" w:cs="PTAstraSerif"/>
          <w:b w:val="0"/>
          <w:color w:val="000000"/>
          <w:sz w:val="28"/>
          <w:highlight w:val="white"/>
          <w:lang w:val="ru-RU"/>
        </w:rPr>
        <w:t xml:space="preserve">озок пассажиров и багажа автомобильным транспортом и городским наземным электрическим транспортом к категориям риска причинения вреда (ущерба) в рамках осуществления регионального государственного контроля (надзора) изложить в редакции согласно приложению;</w:t>
      </w:r>
      <w:r>
        <w:rPr>
          <w:rFonts w:ascii="0" w:hAnsi="0" w:eastAsia="0" w:cs="0"/>
          <w:color w:val="000000"/>
          <w:sz w:val="28"/>
          <w:highlight w:val="white"/>
        </w:rPr>
      </w:r>
      <w:r>
        <w:rPr>
          <w:rFonts w:ascii="0" w:hAnsi="0" w:eastAsia="0" w:cs="0"/>
          <w:color w:val="000000"/>
          <w:sz w:val="28"/>
          <w:highlight w:val="white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л</w:t>
      </w:r>
      <w:r>
        <w:rPr>
          <w:rFonts w:ascii="PTAstraSerif" w:hAnsi="PTAstraSerif" w:eastAsia="PTAstraSerif" w:cs="PTAstraSerif"/>
          <w:color w:val="000000"/>
          <w:sz w:val="28"/>
          <w:highlight w:val="white"/>
          <w:lang w:val="ru-RU"/>
        </w:rPr>
        <w:t xml:space="preserve">)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 пункт 3 Перечня индикаторов риска нарушени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я обязательных требований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Удмуртской Республики изложить в следующей редакции: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«3. Наличие (на основании сведений из государственной информационной системы Удмуртской Республики «Ре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гиональная навигационно - информационная система Удмуртской Республики», органов местного самоуправления, органов государственного автодорожного надзора, других государственных органов, общественных объединений, организаций транспортной и дорожной отрасли,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 обращений граждан) трех или более обращений о несоблюдении расписания движения автобусов по установленному контрольным (надзорным) органом маршруту в течение одного квартала, либо невыполнения по соответствующему маршруту в отсутствие чрезвычайной ситуаци</w:t>
      </w: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и ни одного рейса, предусмотренного расписанием, в течение более чем трех дней подряд или в течение более чем одной календарной недели в случае, если расписанием предусматривается осуществление перевозок менее чем в течение трех дней в календарную неделю».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57" w:lineRule="atLeast"/>
        <w:ind w:left="0" w:firstLine="709"/>
        <w:jc w:val="both"/>
        <w:rPr>
          <w:rFonts w:ascii="0" w:hAnsi="0" w:eastAsia="0" w:cs="0"/>
          <w:color w:val="000000"/>
          <w:sz w:val="28"/>
        </w:rPr>
      </w:pPr>
      <w:r>
        <w:rPr>
          <w:rFonts w:ascii="PTAstraSerif" w:hAnsi="PTAstraSerif" w:eastAsia="PTAstraSerif" w:cs="PTAstraSerif"/>
          <w:color w:val="000000"/>
          <w:sz w:val="28"/>
          <w:lang w:val="ru-RU"/>
        </w:rPr>
        <w:t xml:space="preserve">2. Настоящее постановление вступает в силу через десять дней после дня его официального опубликования.</w:t>
      </w:r>
      <w:r>
        <w:rPr>
          <w:rFonts w:ascii="0" w:hAnsi="0" w:eastAsia="0" w:cs="0"/>
          <w:color w:val="000000"/>
          <w:sz w:val="28"/>
        </w:rPr>
      </w:r>
      <w:r>
        <w:rPr>
          <w:rFonts w:ascii="0" w:hAnsi="0" w:eastAsia="0" w:cs="0"/>
          <w:color w:val="000000"/>
          <w:sz w:val="28"/>
        </w:rPr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Председатель Правительства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Удмуртской Республики</w:t>
        <w:tab/>
        <w:tab/>
        <w:tab/>
        <w:tab/>
        <w:tab/>
        <w:t xml:space="preserve">         </w:t>
      </w:r>
      <w:r>
        <w:rPr>
          <w:b/>
          <w:color w:val="000000"/>
          <w:sz w:val="28"/>
          <w:szCs w:val="28"/>
        </w:rPr>
        <w:t xml:space="preserve">         Р.В. Ефимов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вносит: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транспорта и дорожного хозяйства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Республики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Г</w:t>
      </w:r>
      <w:r>
        <w:rPr>
          <w:sz w:val="28"/>
          <w:szCs w:val="28"/>
        </w:rPr>
        <w:t xml:space="preserve">.Ф. Таранов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shd w:val="clear" w:color="auto" w:fill="ffffff"/>
        <w:jc w:val="both"/>
        <w:rPr>
          <w:sz w:val="28"/>
          <w:szCs w:val="28"/>
          <w:highlight w:val="none"/>
        </w:rPr>
      </w:pPr>
      <w:r>
        <w:rPr>
          <w:sz w:val="21"/>
          <w:szCs w:val="21"/>
        </w:rPr>
        <w:t xml:space="preserve">Разослать: Секретариат Председателя Правительства УР Р</w:t>
      </w:r>
      <w:r>
        <w:rPr>
          <w:sz w:val="21"/>
          <w:szCs w:val="21"/>
        </w:rPr>
        <w:t xml:space="preserve">.В. Ефимова</w:t>
      </w:r>
      <w:r>
        <w:rPr>
          <w:sz w:val="21"/>
          <w:szCs w:val="21"/>
        </w:rPr>
        <w:t xml:space="preserve">, ГКК УР, Прокуратура УР, </w:t>
      </w:r>
      <w:r>
        <w:rPr>
          <w:sz w:val="21"/>
          <w:szCs w:val="21"/>
        </w:rPr>
        <w:t xml:space="preserve">Минстрой УР</w:t>
      </w:r>
      <w:r>
        <w:rPr>
          <w:sz w:val="21"/>
          <w:szCs w:val="21"/>
        </w:rPr>
        <w:t xml:space="preserve">, Минэкономики УР,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Управление Минюста РФ по УР</w:t>
      </w:r>
      <w:r>
        <w:rPr>
          <w:sz w:val="22"/>
          <w:szCs w:val="22"/>
        </w:rPr>
        <w:t xml:space="preserve">,</w:t>
      </w:r>
      <w:r>
        <w:rPr>
          <w:sz w:val="21"/>
          <w:szCs w:val="21"/>
        </w:rPr>
        <w:t xml:space="preserve"> СПС, </w:t>
      </w:r>
      <w:r>
        <w:rPr>
          <w:sz w:val="21"/>
          <w:szCs w:val="21"/>
          <w:lang w:val="en-US"/>
        </w:rPr>
        <w:t xml:space="preserve">web</w:t>
      </w:r>
      <w:r>
        <w:rPr>
          <w:sz w:val="21"/>
          <w:szCs w:val="21"/>
        </w:rPr>
        <w:t xml:space="preserve">-сайт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clear" w:color="auto" w:fill="ffffff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clear" w:color="auto" w:fill="ffffff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61"/>
        <w:gridCol w:w="5093"/>
      </w:tblGrid>
      <w:tr>
        <w:trPr>
          <w:jc w:val="left"/>
        </w:trPr>
        <w:tblPrEx/>
        <w:tc>
          <w:tcPr>
            <w:tcW w:w="4261" w:type="dxa"/>
            <w:noWrap w:val="false"/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both"/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5093" w:type="dxa"/>
            <w:noWrap w:val="false"/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Приложение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 к постановлению Правительства Удмуртской Республики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от «___»_______2026 года №___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</w:p>
        </w:tc>
      </w:tr>
    </w:tbl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left="0" w:right="0" w:firstLine="0"/>
        <w:jc w:val="center"/>
        <w:rPr>
          <w:rFonts w:ascii="0" w:hAnsi="0" w:eastAsia="0" w:cs="0"/>
          <w:color w:val="auto"/>
          <w:sz w:val="28"/>
          <w:szCs w:val="28"/>
          <w:highlight w:val="none"/>
          <w:lang w:val="ru-RU" w:bidi="zh-CN"/>
        </w:rPr>
      </w:pP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t xml:space="preserve">«Критерии отнесения объектов контроля в сфере перевозок пассажиров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br/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t xml:space="preserve"> и багажа автомобильным транспортом и городским наземным электрическим транспортом к категориям риска причинения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br/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t xml:space="preserve"> вреда (ущерба) в рамках осуществления регионального </w:t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br/>
      </w:r>
      <w:r>
        <w:rPr>
          <w:rFonts w:ascii="PT Astra Serif" w:hAnsi="PT Astra Serif" w:eastAsia="PT Astra Serif" w:cs="PT Astra Serif"/>
          <w:b/>
          <w:bCs/>
          <w:color w:val="000000"/>
          <w:sz w:val="28"/>
          <w:szCs w:val="28"/>
          <w:lang w:val="ru-RU" w:bidi="zh-CN"/>
        </w:rPr>
        <w:t xml:space="preserve"> государственного контроля (надзора)</w:t>
      </w:r>
      <w:r>
        <w:rPr>
          <w:rFonts w:ascii="0" w:hAnsi="0" w:eastAsia="0" w:cs="0"/>
          <w:color w:val="auto"/>
          <w:sz w:val="28"/>
          <w:szCs w:val="28"/>
          <w:highlight w:val="none"/>
          <w:lang w:val="ru-RU" w:bidi="zh-CN"/>
        </w:rPr>
      </w:r>
      <w:r>
        <w:rPr>
          <w:rFonts w:ascii="0" w:hAnsi="0" w:eastAsia="0" w:cs="0"/>
          <w:color w:val="auto"/>
          <w:sz w:val="28"/>
          <w:szCs w:val="28"/>
          <w:highlight w:val="none"/>
          <w:lang w:val="ru-RU" w:bidi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auto" w:fill="ffffff"/>
        <w:spacing w:before="0" w:after="0" w:line="240" w:lineRule="auto"/>
        <w:ind w:left="0" w:right="0" w:firstLine="0"/>
        <w:jc w:val="center"/>
        <w:rPr>
          <w:rFonts w:ascii="0" w:hAnsi="0" w:eastAsia="0" w:cs="0"/>
          <w:color w:val="auto"/>
          <w:sz w:val="28"/>
          <w:szCs w:val="28"/>
          <w:lang w:val="ru-RU" w:bidi="zh-CN"/>
        </w:rPr>
      </w:pPr>
      <w:r>
        <w:rPr>
          <w:rFonts w:ascii="0" w:hAnsi="0" w:eastAsia="0" w:cs="0"/>
          <w:color w:val="auto"/>
          <w:sz w:val="28"/>
          <w:szCs w:val="28"/>
          <w:highlight w:val="none"/>
          <w:lang w:val="ru-RU" w:bidi="zh-CN"/>
        </w:rPr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</w:p>
    <w:tbl>
      <w:tblPr>
        <w:tblW w:w="0" w:type="auto"/>
        <w:tblInd w:w="-9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18"/>
        <w:gridCol w:w="1662"/>
        <w:gridCol w:w="1313"/>
        <w:gridCol w:w="3119"/>
      </w:tblGrid>
      <w:tr>
        <w:trPr>
          <w:jc w:val="left"/>
        </w:trPr>
        <w:tblPrEx/>
        <w:tc>
          <w:tcPr>
            <w:tcW w:w="4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Категория риска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4432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102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Суммарное количество баллов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478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Средний риск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4432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45 баллов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478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Умеренный риск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4432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25 - 35 баллов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478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Низкий риск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4432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25 баллов и менее 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921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Отнесение объектов контроля к определенной категории риска осуществляется исходя из определения общего количества баллов по всем критериям, применяемым к контролируемым лицам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9212" w:type="dxa"/>
            <w:gridSpan w:val="4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Критерии отнесения объектов контроля к определенной категории риска причинения вреда (ущерба)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0" w:type="dxa"/>
              <w:right w:w="62" w:type="dxa"/>
              <w:bottom w:w="0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Критерий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62" w:type="dxa"/>
              <w:bottom w:w="0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Показатель критерия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62" w:type="dxa"/>
              <w:bottom w:w="0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Количество баллов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center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1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center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2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center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3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9212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Тяжесть причинения вреда (ущерба) охраняемым законом ценностям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both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Количество жалоб со стороны пользователей межмуниципальными маршрутами регулярных перевозок Удмуртской Республики на нарушение требований, установленных статьёй 4 Закона Российской Федерации от 7 февраля 1992 года № 2300-1 «О защите прав потребителей</w:t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  <w:t xml:space="preserve">в течение трех лет, предшествующих году принятия решения о присвоении (изменении) категории риска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от 1 до 15 жалоб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15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863"/>
              <w:spacing w:before="0" w:after="0" w:line="240" w:lineRule="auto"/>
              <w:jc w:val="both"/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от 16 до 30 жалоб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25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863"/>
              <w:spacing w:before="0" w:after="0" w:line="240" w:lineRule="auto"/>
              <w:jc w:val="both"/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PT Astra Serif" w:hAnsi="PT Astra Serif" w:eastAsia="PT Astra Serif" w:cs="PT Astra Serif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31 и более жалоб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35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921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Вероятность наступления негативных событий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both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Вынесение контролируемому лицу предписания об устранении нарушений обязательных требований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57" w:right="0" w:firstLine="0"/>
              <w:jc w:val="both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Наличие предписания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об устранении нарушений обязательных требований за 3 года, предшествующих дате принятия решения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об отнесении контролируемых лиц к определенной категории риска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+ 10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921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Добросовестность контролируемых лиц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  <w:tr>
        <w:trPr>
          <w:jc w:val="left"/>
        </w:trPr>
        <w:tblPrEx/>
        <w:tc>
          <w:tcPr>
            <w:tcW w:w="311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false"/>
            <w:tcMar>
              <w:left w:w="62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both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Наличие у контролируемых лиц добровольной сертификации, подтверждающей уровень качества и безопасности услуг пассажирского автомобильного транспорта, включая безопасность для жизни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и здоровья граждан, окружающей среды,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а также предотвращения причинения вреда имуществу граждан (ГОСТ 51825-2001)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2975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57" w:right="0" w:firstLine="0"/>
              <w:jc w:val="both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Наличие у контролируемых лиц добровольной сертификации, подтверждающей уровень качества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и безопасности услуг пассажирского автомобильного транспорта, включая безопасность для жизни и здоровья граждан, окружающей среды, а также предотвращения причинения вреда имуществу граждан (ГОСТ 51825-2001),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 на дату принятия решения об отнесении контролируемых лиц </w:t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 к определенной категории риска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  <w:tc>
          <w:tcPr>
            <w:tcW w:w="3119" w:type="dxa"/>
            <w:tcBorders>
              <w:bottom w:val="single" w:color="000000" w:sz="8" w:space="0"/>
              <w:right w:val="single" w:color="000000" w:sz="8" w:space="0"/>
            </w:tcBorders>
            <w:noWrap w:val="false"/>
            <w:tcMar>
              <w:left w:w="0" w:type="dxa"/>
              <w:top w:w="0" w:type="dxa"/>
              <w:right w:w="62" w:type="dxa"/>
              <w:bottom w:w="102" w:type="dxa"/>
            </w:tcMar>
            <w:textDirection w:val="lrTb"/>
            <w:vAlign w:val="top"/>
          </w:tcPr>
          <w:p>
            <w:pPr>
              <w:pStyle w:val="863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8"/>
                <w:szCs w:val="28"/>
                <w:lang w:val="ru-RU" w:bidi="zh-CN"/>
              </w:rPr>
              <w:t xml:space="preserve">– 10</w:t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  <w:r>
              <w:rPr>
                <w:rFonts w:ascii="0" w:hAnsi="0" w:eastAsia="0" w:cs="0"/>
                <w:color w:val="auto"/>
                <w:sz w:val="28"/>
                <w:szCs w:val="28"/>
                <w:lang w:val="ru-RU" w:bidi="zh-CN"/>
              </w:rPr>
            </w:r>
          </w:p>
        </w:tc>
      </w:tr>
    </w:tbl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right"/>
        <w:rPr>
          <w:rFonts w:ascii="0" w:hAnsi="0" w:eastAsia="0" w:cs="0"/>
          <w:color w:val="auto"/>
          <w:sz w:val="28"/>
          <w:szCs w:val="28"/>
          <w:lang w:val="ru-RU" w:bidi="zh-CN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val="ru-RU" w:bidi="zh-CN"/>
        </w:rPr>
        <w:t xml:space="preserve">».</w:t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center"/>
        <w:rPr>
          <w:rFonts w:ascii="0" w:hAnsi="0" w:eastAsia="0" w:cs="0"/>
          <w:color w:val="auto"/>
          <w:sz w:val="28"/>
          <w:szCs w:val="28"/>
          <w:lang w:val="ru-RU" w:bidi="zh-CN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lang w:val="ru-RU" w:bidi="zh-CN"/>
        </w:rPr>
        <w:t xml:space="preserve">__________________</w:t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  <w:r>
        <w:rPr>
          <w:rFonts w:ascii="0" w:hAnsi="0" w:eastAsia="0" w:cs="0"/>
          <w:color w:val="auto"/>
          <w:sz w:val="28"/>
          <w:szCs w:val="28"/>
          <w:lang w:val="ru-RU" w:bidi="zh-CN"/>
        </w:rPr>
      </w:r>
    </w:p>
    <w:p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AstraSerif">
    <w:panose1 w:val="020A0603040505020204"/>
  </w:font>
  <w:font w:name="0">
    <w:panose1 w:val="02000603000000000000"/>
  </w:font>
  <w:font w:name="PT Astra Serif">
    <w:panose1 w:val="020A060304050502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6">
    <w:name w:val="Heading 1 Char"/>
    <w:link w:val="68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8">
    <w:name w:val="Heading 2 Char"/>
    <w:link w:val="687"/>
    <w:uiPriority w:val="9"/>
    <w:rPr>
      <w:rFonts w:ascii="Liberation Sans" w:hAnsi="Liberation Sans" w:eastAsia="Liberation Sans" w:cs="Liberation Sans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0">
    <w:name w:val="Heading 3 Char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ind w:left="720"/>
      <w:contextualSpacing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spacing w:after="57"/>
      <w:ind w:left="0" w:right="0" w:firstLine="0"/>
    </w:pPr>
  </w:style>
  <w:style w:type="paragraph" w:styleId="853">
    <w:name w:val="toc 2"/>
    <w:basedOn w:val="863"/>
    <w:next w:val="863"/>
    <w:uiPriority w:val="39"/>
    <w:unhideWhenUsed/>
    <w:pPr>
      <w:spacing w:after="57"/>
      <w:ind w:left="283" w:right="0" w:firstLine="0"/>
    </w:pPr>
  </w:style>
  <w:style w:type="paragraph" w:styleId="854">
    <w:name w:val="toc 3"/>
    <w:basedOn w:val="863"/>
    <w:next w:val="863"/>
    <w:uiPriority w:val="39"/>
    <w:unhideWhenUsed/>
    <w:pPr>
      <w:spacing w:after="57"/>
      <w:ind w:left="567" w:right="0" w:firstLine="0"/>
    </w:pPr>
  </w:style>
  <w:style w:type="paragraph" w:styleId="855">
    <w:name w:val="toc 4"/>
    <w:basedOn w:val="863"/>
    <w:next w:val="863"/>
    <w:uiPriority w:val="39"/>
    <w:unhideWhenUsed/>
    <w:pPr>
      <w:spacing w:after="57"/>
      <w:ind w:left="850" w:right="0" w:firstLine="0"/>
    </w:pPr>
  </w:style>
  <w:style w:type="paragraph" w:styleId="856">
    <w:name w:val="toc 5"/>
    <w:basedOn w:val="863"/>
    <w:next w:val="863"/>
    <w:uiPriority w:val="39"/>
    <w:unhideWhenUsed/>
    <w:pPr>
      <w:spacing w:after="57"/>
      <w:ind w:left="1134" w:right="0" w:firstLine="0"/>
    </w:pPr>
  </w:style>
  <w:style w:type="paragraph" w:styleId="857">
    <w:name w:val="toc 6"/>
    <w:basedOn w:val="863"/>
    <w:next w:val="863"/>
    <w:uiPriority w:val="39"/>
    <w:unhideWhenUsed/>
    <w:pPr>
      <w:spacing w:after="57"/>
      <w:ind w:left="1417" w:right="0" w:firstLine="0"/>
    </w:pPr>
  </w:style>
  <w:style w:type="paragraph" w:styleId="858">
    <w:name w:val="toc 7"/>
    <w:basedOn w:val="863"/>
    <w:next w:val="863"/>
    <w:uiPriority w:val="39"/>
    <w:unhideWhenUsed/>
    <w:pPr>
      <w:spacing w:after="57"/>
      <w:ind w:left="1701" w:right="0" w:firstLine="0"/>
    </w:pPr>
  </w:style>
  <w:style w:type="paragraph" w:styleId="859">
    <w:name w:val="toc 8"/>
    <w:basedOn w:val="863"/>
    <w:next w:val="863"/>
    <w:uiPriority w:val="39"/>
    <w:unhideWhenUsed/>
    <w:pPr>
      <w:spacing w:after="57"/>
      <w:ind w:left="1984" w:right="0" w:firstLine="0"/>
    </w:pPr>
  </w:style>
  <w:style w:type="paragraph" w:styleId="860">
    <w:name w:val="toc 9"/>
    <w:basedOn w:val="863"/>
    <w:next w:val="863"/>
    <w:uiPriority w:val="39"/>
    <w:unhideWhenUsed/>
    <w:pPr>
      <w:spacing w:after="57"/>
      <w:ind w:left="2268" w:right="0" w:firstLine="0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864">
    <w:name w:val="Заголовок 1"/>
    <w:basedOn w:val="863"/>
    <w:next w:val="863"/>
    <w:link w:val="869"/>
    <w:uiPriority w:val="99"/>
    <w:qFormat/>
    <w:pPr>
      <w:keepNext/>
      <w:widowControl/>
      <w:jc w:val="center"/>
      <w:outlineLvl w:val="0"/>
    </w:pPr>
    <w:rPr>
      <w:b/>
      <w:caps/>
      <w:sz w:val="28"/>
    </w:rPr>
  </w:style>
  <w:style w:type="paragraph" w:styleId="865">
    <w:name w:val="Заголовок 5"/>
    <w:basedOn w:val="863"/>
    <w:next w:val="863"/>
    <w:link w:val="870"/>
    <w:uiPriority w:val="99"/>
    <w:qFormat/>
    <w:pPr>
      <w:keepNext/>
      <w:widowControl/>
      <w:jc w:val="center"/>
      <w:outlineLvl w:val="4"/>
    </w:pPr>
    <w:rPr>
      <w:sz w:val="28"/>
    </w:rPr>
  </w:style>
  <w:style w:type="character" w:styleId="866">
    <w:name w:val="Основной шрифт абзаца"/>
    <w:next w:val="866"/>
    <w:link w:val="863"/>
    <w:uiPriority w:val="1"/>
    <w:semiHidden/>
    <w:unhideWhenUsed/>
  </w:style>
  <w:style w:type="table" w:styleId="867">
    <w:name w:val="Обычная таблица"/>
    <w:next w:val="867"/>
    <w:link w:val="863"/>
    <w:uiPriority w:val="99"/>
    <w:semiHidden/>
    <w:unhideWhenUsed/>
    <w:qFormat/>
    <w:tblPr/>
  </w:style>
  <w:style w:type="numbering" w:styleId="868">
    <w:name w:val="Нет списка"/>
    <w:next w:val="868"/>
    <w:link w:val="863"/>
    <w:uiPriority w:val="99"/>
    <w:semiHidden/>
    <w:unhideWhenUsed/>
  </w:style>
  <w:style w:type="character" w:styleId="869">
    <w:name w:val="Заголовок 1 Знак"/>
    <w:next w:val="869"/>
    <w:link w:val="864"/>
    <w:uiPriority w:val="99"/>
    <w:rPr>
      <w:rFonts w:ascii="Times New Roman" w:hAnsi="Times New Roman" w:eastAsia="Times New Roman" w:cs="Times New Roman"/>
      <w:b/>
      <w:caps/>
      <w:sz w:val="28"/>
      <w:szCs w:val="20"/>
      <w:lang w:eastAsia="ru-RU"/>
    </w:rPr>
  </w:style>
  <w:style w:type="character" w:styleId="870">
    <w:name w:val="Заголовок 5 Знак"/>
    <w:next w:val="870"/>
    <w:link w:val="86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1">
    <w:name w:val="Верхний колонтитул"/>
    <w:basedOn w:val="863"/>
    <w:next w:val="871"/>
    <w:link w:val="872"/>
    <w:uiPriority w:val="99"/>
    <w:unhideWhenUsed/>
    <w:pPr>
      <w:widowControl/>
      <w:tabs>
        <w:tab w:val="center" w:pos="4677" w:leader="none"/>
        <w:tab w:val="right" w:pos="9355" w:leader="none"/>
      </w:tabs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Calibri" w:hAnsi="Calibri" w:eastAsia="Calibri" w:cs="Times New Roman"/>
    </w:rPr>
  </w:style>
  <w:style w:type="paragraph" w:styleId="873">
    <w:name w:val="Нижний колонтитул"/>
    <w:basedOn w:val="863"/>
    <w:next w:val="873"/>
    <w:link w:val="874"/>
    <w:uiPriority w:val="99"/>
    <w:unhideWhenUsed/>
    <w:pPr>
      <w:widowControl/>
      <w:tabs>
        <w:tab w:val="center" w:pos="4677" w:leader="none"/>
        <w:tab w:val="right" w:pos="9355" w:leader="none"/>
      </w:tabs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874">
    <w:name w:val="Нижний колонтитул Знак"/>
    <w:next w:val="874"/>
    <w:link w:val="873"/>
    <w:uiPriority w:val="99"/>
    <w:rPr>
      <w:rFonts w:ascii="Calibri" w:hAnsi="Calibri" w:eastAsia="Calibri" w:cs="Times New Roman"/>
    </w:rPr>
  </w:style>
  <w:style w:type="paragraph" w:styleId="875">
    <w:name w:val="ConsPlusNormal"/>
    <w:next w:val="875"/>
    <w:link w:val="876"/>
    <w:pPr>
      <w:widowControl w:val="off"/>
      <w:ind w:firstLine="720"/>
    </w:pPr>
    <w:rPr>
      <w:rFonts w:ascii="Arial" w:hAnsi="Arial" w:eastAsia="Times New Roman"/>
      <w:sz w:val="22"/>
      <w:szCs w:val="22"/>
      <w:lang w:val="ru-RU" w:eastAsia="ru-RU" w:bidi="ar-SA"/>
    </w:rPr>
  </w:style>
  <w:style w:type="character" w:styleId="876">
    <w:name w:val="ConsPlusNormal Знак"/>
    <w:next w:val="876"/>
    <w:link w:val="875"/>
    <w:rPr>
      <w:rFonts w:ascii="Arial" w:hAnsi="Arial" w:eastAsia="Times New Roman"/>
      <w:sz w:val="22"/>
      <w:szCs w:val="22"/>
      <w:lang w:eastAsia="ru-RU" w:bidi="ar-SA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"Хоум Кредит энд Финанс Банк"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Vostrikov</dc:creator>
  <cp:lastModifiedBy>kravtsov_va</cp:lastModifiedBy>
  <cp:revision>30</cp:revision>
  <dcterms:created xsi:type="dcterms:W3CDTF">2018-11-13T11:13:00Z</dcterms:created>
  <dcterms:modified xsi:type="dcterms:W3CDTF">2026-04-13T06:00:41Z</dcterms:modified>
  <cp:version>917504</cp:version>
</cp:coreProperties>
</file>